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 w:val="0"/>
        <w:spacing w:after="0" w:line="240" w:lineRule="auto"/>
        <w:rPr>
          <w:rFonts w:asciiTheme="minorHAnsi" w:hAnsiTheme="minorHAnsi" w:cstheme="minorHAnsi"/>
          <w:b/>
          <w:u w:val="single"/>
          <w:lang w:val="fr-BE"/>
        </w:rPr>
      </w:pPr>
      <w:r>
        <w:rPr>
          <w:rFonts w:asciiTheme="minorHAnsi" w:hAnsiTheme="minorHAnsi" w:cstheme="minorHAnsi"/>
          <w:b/>
          <w:u w:val="single"/>
          <w:lang w:val="fr-BE"/>
        </w:rPr>
        <w:t>TABLEAU DE CORRESPONDANCE TEL QU’ADOPTE A L’ANNEXE 2 DU DECRET DU 10 JANVIER 2019</w:t>
      </w:r>
    </w:p>
    <w:p>
      <w:pPr>
        <w:suppressAutoHyphens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fr-BE"/>
        </w:rPr>
      </w:pPr>
    </w:p>
    <w:p>
      <w:pPr>
        <w:suppressAutoHyphens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fr-BE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0"/>
        <w:gridCol w:w="4540"/>
      </w:tblGrid>
      <w:tr>
        <w:trPr>
          <w:jc w:val="center"/>
        </w:trPr>
        <w:tc>
          <w:tcPr>
            <w:tcW w:w="90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Fonctions dont l’intitulé est modifié</w:t>
            </w:r>
          </w:p>
        </w:tc>
      </w:tr>
      <w:tr>
        <w:trPr>
          <w:trHeight w:val="320"/>
          <w:jc w:val="center"/>
        </w:trPr>
        <w:tc>
          <w:tcPr>
            <w:tcW w:w="90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a) Domaine des arts plastiques, visuels et de l’espace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Ancien intitulé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Nouvel intitulé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création transdisciplinaire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pratiques expérimentales</w:t>
            </w:r>
          </w:p>
        </w:tc>
      </w:tr>
      <w:tr>
        <w:trPr>
          <w:jc w:val="center"/>
        </w:trPr>
        <w:tc>
          <w:tcPr>
            <w:tcW w:w="90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b) Domaine de la musique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Ancien intitulé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Nouvel intitulé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d’accordéon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d’accordéon chromatique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clavecin et claviers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clavecin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cor et trompe de chasse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cor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flûte traversière et piccolo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flûte traversière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harpe (diatonique, chromatique ou celtique)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harpe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hautbois et cor anglais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hautbois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hautbois (instrument ancien)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hautbois baroque et classique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d’orgue et claviers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d’orgue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piano et claviers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piano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 xml:space="preserve">Professeur de </w:t>
            </w:r>
            <w:proofErr w:type="spellStart"/>
            <w:r>
              <w:t>traverso</w:t>
            </w:r>
            <w:proofErr w:type="spellEnd"/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flûte traversière baroque et classique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trompette</w:t>
            </w:r>
            <w:r>
              <w:rPr>
                <w:rFonts w:ascii="TimesNewRomanPSMT" w:hAnsi="TimesNewRomanPSMT" w:cs="TimesNewRomanPSMT"/>
              </w:rPr>
              <w:t>,</w:t>
            </w:r>
            <w:r>
              <w:t xml:space="preserve"> bugle et cornet à pistons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trompette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formation vocale - chant et de musique de chambre vocale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chant et de musique de chambre vocale</w:t>
            </w:r>
          </w:p>
        </w:tc>
      </w:tr>
      <w:tr>
        <w:trPr>
          <w:jc w:val="center"/>
        </w:trPr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formation vocale - jazz</w:t>
            </w:r>
          </w:p>
        </w:tc>
        <w:tc>
          <w:tcPr>
            <w:tcW w:w="45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widowControl w:val="0"/>
              <w:spacing w:after="0" w:line="240" w:lineRule="auto"/>
            </w:pPr>
            <w:r>
              <w:t>Professeur de chant jazz et ensemble jazz</w:t>
            </w:r>
          </w:p>
        </w:tc>
      </w:tr>
    </w:tbl>
    <w:p>
      <w:pPr>
        <w:suppressAutoHyphens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fr-BE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0"/>
        <w:gridCol w:w="4520"/>
      </w:tblGrid>
      <w:tr>
        <w:trPr>
          <w:jc w:val="center"/>
        </w:trPr>
        <w:tc>
          <w:tcPr>
            <w:tcW w:w="90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Fonctions issues de la scission d’anciennes fonctions</w:t>
            </w:r>
          </w:p>
        </w:tc>
      </w:tr>
      <w:tr>
        <w:trPr>
          <w:jc w:val="center"/>
        </w:trPr>
        <w:tc>
          <w:tcPr>
            <w:tcW w:w="90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a) Domaine de la musique</w:t>
            </w:r>
          </w:p>
        </w:tc>
      </w:tr>
      <w:tr>
        <w:trPr>
          <w:jc w:val="center"/>
        </w:trPr>
        <w:tc>
          <w:tcPr>
            <w:tcW w:w="4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Anciennes fonctions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Nouvelles fonctions</w:t>
            </w:r>
          </w:p>
        </w:tc>
      </w:tr>
      <w:tr>
        <w:trPr>
          <w:jc w:val="center"/>
        </w:trPr>
        <w:tc>
          <w:tcPr>
            <w:tcW w:w="45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clarinette et saxophone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clarinette</w:t>
            </w:r>
          </w:p>
        </w:tc>
      </w:tr>
      <w:tr>
        <w:trPr>
          <w:trHeight w:val="210"/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saxophone</w:t>
            </w:r>
          </w:p>
        </w:tc>
      </w:tr>
      <w:tr>
        <w:trPr>
          <w:trHeight w:val="200"/>
          <w:jc w:val="center"/>
        </w:trPr>
        <w:tc>
          <w:tcPr>
            <w:tcW w:w="45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cornemuse et musette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cornemuse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musette</w:t>
            </w:r>
          </w:p>
        </w:tc>
      </w:tr>
      <w:tr>
        <w:trPr>
          <w:jc w:val="center"/>
        </w:trPr>
        <w:tc>
          <w:tcPr>
            <w:tcW w:w="45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luth et mandoline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luth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mandoline</w:t>
            </w:r>
          </w:p>
        </w:tc>
      </w:tr>
      <w:tr>
        <w:trPr>
          <w:jc w:val="center"/>
        </w:trPr>
        <w:tc>
          <w:tcPr>
            <w:tcW w:w="45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trombone, tuba (alto, basse baryton, bombardon)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trombone à coulisse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tuba</w:t>
            </w:r>
          </w:p>
        </w:tc>
      </w:tr>
      <w:tr>
        <w:trPr>
          <w:jc w:val="center"/>
        </w:trPr>
        <w:tc>
          <w:tcPr>
            <w:tcW w:w="45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violon et d’alto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violon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d’alto</w:t>
            </w:r>
          </w:p>
        </w:tc>
      </w:tr>
      <w:tr>
        <w:trPr>
          <w:jc w:val="center"/>
        </w:trPr>
        <w:tc>
          <w:tcPr>
            <w:tcW w:w="45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formation instrumentale jazz et d’ensemble jazz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d’accordéon jazz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batterie jazz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bois jazz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claviers jazz et ensemble jazz</w:t>
            </w:r>
          </w:p>
        </w:tc>
      </w:tr>
      <w:tr>
        <w:trPr>
          <w:trHeight w:val="620"/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contrebasse jazz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cuivres jazz et ensemble jazz</w:t>
            </w:r>
          </w:p>
        </w:tc>
      </w:tr>
      <w:tr>
        <w:trPr>
          <w:trHeight w:val="620"/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guitare jazz, guitare d’accompagnement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guitare basse jazz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d’harmonica jazz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vibraphone jazz et ensemble jazz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violon jazz et ensemble jazz</w:t>
            </w:r>
          </w:p>
        </w:tc>
      </w:tr>
      <w:tr>
        <w:trPr>
          <w:jc w:val="center"/>
        </w:trPr>
        <w:tc>
          <w:tcPr>
            <w:tcW w:w="90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b) Domaine des arts de la parole et du théâtre</w:t>
            </w:r>
          </w:p>
        </w:tc>
      </w:tr>
      <w:tr>
        <w:trPr>
          <w:jc w:val="center"/>
        </w:trPr>
        <w:tc>
          <w:tcPr>
            <w:tcW w:w="4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Ancienne fonction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Nouvelles fonctions</w:t>
            </w:r>
          </w:p>
        </w:tc>
      </w:tr>
      <w:tr>
        <w:trPr>
          <w:jc w:val="center"/>
        </w:trPr>
        <w:tc>
          <w:tcPr>
            <w:tcW w:w="45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formation pluridisciplinaire</w:t>
            </w: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d’art dramatique</w:t>
            </w:r>
          </w:p>
        </w:tc>
      </w:tr>
      <w:tr>
        <w:trPr>
          <w:jc w:val="center"/>
        </w:trPr>
        <w:tc>
          <w:tcPr>
            <w:tcW w:w="45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</w:tcPr>
          <w:p>
            <w:pPr>
              <w:spacing w:after="0" w:line="240" w:lineRule="auto"/>
            </w:pPr>
            <w:r>
              <w:t>Professeur de diction-déclamation</w:t>
            </w:r>
          </w:p>
        </w:tc>
      </w:tr>
    </w:tbl>
    <w:p>
      <w:pPr>
        <w:spacing w:after="0" w:line="240" w:lineRule="auto"/>
        <w:rPr>
          <w:rFonts w:ascii="TimesNewRomanPSMT" w:hAnsi="TimesNewRomanPSMT" w:cs="TimesNewRomanPSMT"/>
          <w:sz w:val="24"/>
          <w:szCs w:val="24"/>
          <w:lang w:val="fr-BE"/>
        </w:rPr>
      </w:pP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1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  <w:sdt>
      <w:sdtPr>
        <w:id w:val="969400743"/>
        <w:placeholder>
          <w:docPart w:val="79E4AADD551C4A18A56DDB266E2371B7"/>
        </w:placeholder>
        <w:temporary/>
        <w:showingPlcHdr/>
        <w15:appearance w15:val="hidden"/>
      </w:sdtPr>
      <w:sdtContent>
        <w:r>
          <w:t>[Tapez ici]</w:t>
        </w:r>
      </w:sdtContent>
    </w:sdt>
    <w:r>
      <w:ptab w:relativeTo="margin" w:alignment="center" w:leader="none"/>
    </w:r>
    <w:sdt>
      <w:sdtPr>
        <w:id w:val="969400748"/>
        <w:placeholder>
          <w:docPart w:val="79E4AADD551C4A18A56DDB266E2371B7"/>
        </w:placeholder>
        <w:temporary/>
        <w:showingPlcHdr/>
        <w15:appearance w15:val="hidden"/>
      </w:sdtPr>
      <w:sdtContent>
        <w:r>
          <w:t>[Tapez ici]</w:t>
        </w:r>
      </w:sdtContent>
    </w:sdt>
    <w:bookmarkStart w:id="0" w:name="_GoBack"/>
    <w:r>
      <w:ptab w:relativeTo="margin" w:alignment="right" w:leader="none"/>
    </w:r>
    <w:r>
      <w:rPr>
        <w:b/>
      </w:rPr>
      <w:t>ANNEXE 3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6F5885B-5A48-489B-9A24-26B17F44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autoSpaceDE w:val="0"/>
      <w:autoSpaceDN w:val="0"/>
      <w:adjustRightInd w:val="0"/>
      <w:spacing w:after="200" w:line="276" w:lineRule="auto"/>
    </w:pPr>
    <w:rPr>
      <w:rFonts w:ascii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basedOn w:val="Policepardfaut"/>
    <w:uiPriority w:val="99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uiPriority w:val="99"/>
  </w:style>
  <w:style w:type="character" w:customStyle="1" w:styleId="PieddepageCar">
    <w:name w:val="Pied de page Car"/>
    <w:basedOn w:val="Policepardfaut"/>
    <w:uiPriority w:val="99"/>
  </w:style>
  <w:style w:type="character" w:styleId="Marquedecommentaire">
    <w:name w:val="annotation reference"/>
    <w:basedOn w:val="Policepardfaut"/>
    <w:uiPriority w:val="99"/>
    <w:rPr>
      <w:sz w:val="16"/>
      <w:szCs w:val="16"/>
    </w:rPr>
  </w:style>
  <w:style w:type="character" w:customStyle="1" w:styleId="CommentaireCar">
    <w:name w:val="Commentaire Car"/>
    <w:basedOn w:val="Policepardfaut"/>
    <w:uiPriority w:val="99"/>
    <w:rPr>
      <w:sz w:val="20"/>
      <w:szCs w:val="20"/>
    </w:rPr>
  </w:style>
  <w:style w:type="character" w:customStyle="1" w:styleId="ObjetducommentaireCar">
    <w:name w:val="Objet du commentaire Car"/>
    <w:basedOn w:val="CommentaireCar"/>
    <w:uiPriority w:val="99"/>
    <w:rPr>
      <w:b/>
      <w:bCs/>
      <w:sz w:val="20"/>
      <w:szCs w:val="20"/>
    </w:rPr>
  </w:style>
  <w:style w:type="paragraph" w:customStyle="1" w:styleId="Heading">
    <w:name w:val="Heading"/>
    <w:basedOn w:val="Normal"/>
    <w:next w:val="TextBody"/>
    <w:uiPriority w:val="99"/>
    <w:pPr>
      <w:keepNext/>
      <w:spacing w:before="240" w:after="120"/>
    </w:pPr>
    <w:rPr>
      <w:rFonts w:ascii="ArialMT" w:hAnsi="ArialMT" w:cs="ArialMT"/>
      <w:sz w:val="28"/>
      <w:szCs w:val="28"/>
    </w:rPr>
  </w:style>
  <w:style w:type="paragraph" w:customStyle="1" w:styleId="TextBody">
    <w:name w:val="Text Body"/>
    <w:basedOn w:val="Normal"/>
    <w:uiPriority w:val="99"/>
    <w:pPr>
      <w:spacing w:after="140" w:line="288" w:lineRule="auto"/>
    </w:pPr>
  </w:style>
  <w:style w:type="paragraph" w:styleId="Liste">
    <w:name w:val="List"/>
    <w:basedOn w:val="TextBody"/>
    <w:uiPriority w:val="99"/>
  </w:style>
  <w:style w:type="paragraph" w:styleId="Lgende">
    <w:name w:val="caption"/>
    <w:basedOn w:val="Normal"/>
    <w:uiPriority w:val="99"/>
    <w:qFormat/>
    <w:pPr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pPr>
      <w:spacing w:after="0"/>
    </w:pPr>
  </w:style>
  <w:style w:type="paragraph" w:styleId="Textedebulles">
    <w:name w:val="Balloon Text"/>
    <w:basedOn w:val="Normal"/>
    <w:link w:val="TextedebullesCar1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1">
    <w:name w:val="Texte de bulles Car1"/>
    <w:basedOn w:val="Policepardfaut"/>
    <w:link w:val="Textedebulles"/>
    <w:uiPriority w:val="99"/>
    <w:semiHidden/>
    <w:rPr>
      <w:rFonts w:ascii="Segoe UI" w:hAnsi="Segoe UI" w:cs="Segoe UI"/>
      <w:sz w:val="18"/>
      <w:szCs w:val="18"/>
      <w:lang w:val="fr-FR"/>
    </w:rPr>
  </w:style>
  <w:style w:type="paragraph" w:styleId="En-tte">
    <w:name w:val="header"/>
    <w:basedOn w:val="Normal"/>
    <w:link w:val="En-tteCar1"/>
    <w:uiPriority w:val="99"/>
  </w:style>
  <w:style w:type="character" w:customStyle="1" w:styleId="En-tteCar1">
    <w:name w:val="En-tête Car1"/>
    <w:basedOn w:val="Policepardfaut"/>
    <w:link w:val="En-tte"/>
    <w:uiPriority w:val="99"/>
    <w:semiHidden/>
    <w:rPr>
      <w:rFonts w:ascii="Calibri" w:hAnsi="Calibri" w:cs="Calibri"/>
      <w:lang w:val="fr-FR"/>
    </w:rPr>
  </w:style>
  <w:style w:type="paragraph" w:styleId="Pieddepage">
    <w:name w:val="footer"/>
    <w:basedOn w:val="Normal"/>
    <w:link w:val="PieddepageCar1"/>
    <w:uiPriority w:val="99"/>
  </w:style>
  <w:style w:type="character" w:customStyle="1" w:styleId="PieddepageCar1">
    <w:name w:val="Pied de page Car1"/>
    <w:basedOn w:val="Policepardfaut"/>
    <w:link w:val="Pieddepage"/>
    <w:uiPriority w:val="99"/>
    <w:semiHidden/>
    <w:rPr>
      <w:rFonts w:ascii="Calibri" w:hAnsi="Calibri" w:cs="Calibri"/>
      <w:lang w:val="fr-FR"/>
    </w:rPr>
  </w:style>
  <w:style w:type="paragraph" w:styleId="Commentaire">
    <w:name w:val="annotation text"/>
    <w:basedOn w:val="Normal"/>
    <w:link w:val="CommentaireCar1"/>
    <w:uiPriority w:val="99"/>
    <w:pPr>
      <w:spacing w:after="40"/>
    </w:pPr>
  </w:style>
  <w:style w:type="character" w:customStyle="1" w:styleId="CommentaireCar1">
    <w:name w:val="Commentaire Car1"/>
    <w:basedOn w:val="Policepardfaut"/>
    <w:link w:val="Commentaire"/>
    <w:uiPriority w:val="99"/>
    <w:semiHidden/>
    <w:rPr>
      <w:rFonts w:ascii="Calibri" w:hAnsi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link w:val="ObjetducommentaireCar1"/>
    <w:uiPriority w:val="99"/>
    <w:pPr>
      <w:spacing w:after="0" w:line="240" w:lineRule="auto"/>
    </w:pPr>
    <w:rPr>
      <w:b/>
      <w:bCs/>
      <w:sz w:val="20"/>
      <w:szCs w:val="20"/>
    </w:rPr>
  </w:style>
  <w:style w:type="character" w:customStyle="1" w:styleId="ObjetducommentaireCar1">
    <w:name w:val="Objet du commentaire Car1"/>
    <w:basedOn w:val="CommentaireCar1"/>
    <w:link w:val="Objetducommentaire"/>
    <w:uiPriority w:val="99"/>
    <w:semiHidden/>
    <w:rPr>
      <w:rFonts w:ascii="Calibri" w:hAnsi="Calibri" w:cs="Calibri"/>
      <w:b/>
      <w:bCs/>
      <w:sz w:val="20"/>
      <w:szCs w:val="20"/>
      <w:lang w:val="fr-FR"/>
    </w:rPr>
  </w:style>
  <w:style w:type="paragraph" w:customStyle="1" w:styleId="Lgistique">
    <w:name w:val="Légistique"/>
    <w:basedOn w:val="Normal"/>
    <w:uiPriority w:val="99"/>
    <w:pPr>
      <w:tabs>
        <w:tab w:val="left" w:pos="567"/>
        <w:tab w:val="left" w:pos="1134"/>
      </w:tabs>
      <w:spacing w:before="240"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9E4AADD551C4A18A56DDB266E2371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25DF7A-05B6-471D-837E-DE29B885933B}"/>
      </w:docPartPr>
      <w:docPartBody>
        <w:p>
          <w:pPr>
            <w:pStyle w:val="79E4AADD551C4A18A56DDB266E2371B7"/>
          </w:pPr>
          <w:r>
            <w:rPr>
              <w:lang w:val="fr-FR"/>
            </w:rPr>
            <w:t>[Tapez ici]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79E4AADD551C4A18A56DDB266E2371B7">
    <w:name w:val="79E4AADD551C4A18A56DDB266E2371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409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CHLEIDE</dc:creator>
  <cp:keywords/>
  <dc:description/>
  <cp:lastModifiedBy>MUKUNDENTE Inès</cp:lastModifiedBy>
  <cp:revision>4</cp:revision>
  <cp:lastPrinted>2018-09-11T15:32:00Z</cp:lastPrinted>
  <dcterms:created xsi:type="dcterms:W3CDTF">2019-04-17T09:47:00Z</dcterms:created>
  <dcterms:modified xsi:type="dcterms:W3CDTF">2019-05-23T10:08:00Z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lpwstr/>
  </property>
  <property fmtid="{D5CDD505-2E9C-101B-9397-08002B2CF9AE}" pid="3" name="HyperlinksChanged">
    <vt:lpwstr/>
  </property>
  <property fmtid="{D5CDD505-2E9C-101B-9397-08002B2CF9AE}" pid="4" name="AppVersion">
    <vt:lpwstr>14.0000</vt:lpwstr>
  </property>
  <property fmtid="{D5CDD505-2E9C-101B-9397-08002B2CF9AE}" pid="5" name="LinksUpToDate">
    <vt:lpwstr/>
  </property>
  <property fmtid="{D5CDD505-2E9C-101B-9397-08002B2CF9AE}" pid="6" name="ShareDoc">
    <vt:lpwstr/>
  </property>
  <property fmtid="{D5CDD505-2E9C-101B-9397-08002B2CF9AE}" pid="7" name="ScaleCrop">
    <vt:lpwstr/>
  </property>
</Properties>
</file>